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618" w:rsidRDefault="00B96B21">
      <w:bookmarkStart w:id="0" w:name="_GoBack"/>
      <w:r>
        <w:rPr>
          <w:noProof/>
          <w:lang w:eastAsia="pt-PT"/>
        </w:rPr>
        <w:drawing>
          <wp:inline distT="0" distB="0" distL="0" distR="0" wp14:anchorId="7E6E3D86" wp14:editId="1DAA8012">
            <wp:extent cx="6768692" cy="3962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t="18342" b="8289"/>
                    <a:stretch/>
                  </pic:blipFill>
                  <pic:spPr bwMode="auto">
                    <a:xfrm>
                      <a:off x="0" y="0"/>
                      <a:ext cx="6772389" cy="39645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B0561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B21"/>
    <w:rsid w:val="00B05618"/>
    <w:rsid w:val="00B9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6B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B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6B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B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Grupo Caixa Geral de Depósitos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Pedro Filipe Faveiro (DPN-0398)</dc:creator>
  <cp:lastModifiedBy>Pedro Filipe Faveiro (DPN-0398)</cp:lastModifiedBy>
  <cp:revision>1</cp:revision>
  <dcterms:created xsi:type="dcterms:W3CDTF">2014-12-10T14:57:00Z</dcterms:created>
  <dcterms:modified xsi:type="dcterms:W3CDTF">2014-12-10T14:58:00Z</dcterms:modified>
</cp:coreProperties>
</file>